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4DA41E4A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7A040C">
        <w:rPr>
          <w:rFonts w:ascii="宋体" w:eastAsia="宋体" w:hAnsi="宋体" w:hint="eastAsia"/>
          <w:sz w:val="24"/>
          <w:szCs w:val="24"/>
        </w:rPr>
        <w:t>5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C26E05">
        <w:rPr>
          <w:rFonts w:ascii="宋体" w:eastAsia="宋体" w:hAnsi="宋体" w:hint="eastAsia"/>
          <w:sz w:val="24"/>
          <w:szCs w:val="24"/>
        </w:rPr>
        <w:t>053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5DF534F5" w:rsidR="0044414A" w:rsidRPr="009E41A8" w:rsidRDefault="00B449FC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9E41A8">
        <w:rPr>
          <w:rFonts w:ascii="宋体" w:eastAsia="宋体" w:hAnsi="宋体" w:hint="eastAsia"/>
          <w:b/>
          <w:sz w:val="36"/>
          <w:szCs w:val="36"/>
        </w:rPr>
        <w:t>安徽省交通建设</w:t>
      </w:r>
      <w:r w:rsidR="005263D3" w:rsidRPr="009E41A8">
        <w:rPr>
          <w:rFonts w:ascii="宋体" w:eastAsia="宋体" w:hAnsi="宋体" w:hint="eastAsia"/>
          <w:b/>
          <w:sz w:val="36"/>
          <w:szCs w:val="36"/>
        </w:rPr>
        <w:t>股份</w:t>
      </w:r>
      <w:r w:rsidR="005263D3" w:rsidRPr="009E41A8">
        <w:rPr>
          <w:rFonts w:ascii="宋体" w:eastAsia="宋体" w:hAnsi="宋体"/>
          <w:b/>
          <w:sz w:val="36"/>
          <w:szCs w:val="36"/>
        </w:rPr>
        <w:t>有限公司</w:t>
      </w:r>
    </w:p>
    <w:p w14:paraId="00F57013" w14:textId="2E51D2DC" w:rsidR="0044414A" w:rsidRPr="009E41A8" w:rsidRDefault="00C80940" w:rsidP="00E67DAB">
      <w:pPr>
        <w:spacing w:after="100" w:afterAutospacing="1"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关于注销</w:t>
      </w:r>
      <w:r w:rsidR="00E67DAB" w:rsidRPr="00E67DAB">
        <w:rPr>
          <w:rFonts w:ascii="宋体" w:eastAsia="宋体" w:hAnsi="宋体" w:hint="eastAsia"/>
          <w:b/>
          <w:sz w:val="36"/>
          <w:szCs w:val="36"/>
        </w:rPr>
        <w:t>募集资金</w:t>
      </w:r>
      <w:r>
        <w:rPr>
          <w:rFonts w:ascii="宋体" w:eastAsia="宋体" w:hAnsi="宋体" w:hint="eastAsia"/>
          <w:b/>
          <w:sz w:val="36"/>
          <w:szCs w:val="36"/>
        </w:rPr>
        <w:t>使用</w:t>
      </w:r>
      <w:r w:rsidR="00E67DAB" w:rsidRPr="00E67DAB">
        <w:rPr>
          <w:rFonts w:ascii="宋体" w:eastAsia="宋体" w:hAnsi="宋体" w:hint="eastAsia"/>
          <w:b/>
          <w:sz w:val="36"/>
          <w:szCs w:val="36"/>
        </w:rPr>
        <w:t>专用账户的公告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</w:tbl>
    <w:p w14:paraId="569F4472" w14:textId="77777777" w:rsidR="009E41A8" w:rsidRPr="00D83680" w:rsidRDefault="009E41A8" w:rsidP="00CB0AAA">
      <w:pPr>
        <w:pStyle w:val="ab"/>
        <w:numPr>
          <w:ilvl w:val="0"/>
          <w:numId w:val="1"/>
        </w:numPr>
        <w:tabs>
          <w:tab w:val="left" w:pos="993"/>
        </w:tabs>
        <w:adjustRightInd w:val="0"/>
        <w:spacing w:before="100" w:beforeAutospacing="1" w:line="360" w:lineRule="auto"/>
        <w:ind w:left="0" w:firstLine="482"/>
        <w:outlineLvl w:val="0"/>
        <w:rPr>
          <w:rFonts w:ascii="宋体" w:eastAsia="宋体" w:hAnsi="宋体"/>
          <w:b/>
          <w:bCs/>
          <w:sz w:val="24"/>
          <w:szCs w:val="24"/>
        </w:rPr>
      </w:pPr>
      <w:r w:rsidRPr="00D83680">
        <w:rPr>
          <w:rFonts w:ascii="宋体" w:eastAsia="宋体" w:hAnsi="宋体"/>
          <w:b/>
          <w:bCs/>
          <w:sz w:val="24"/>
          <w:szCs w:val="24"/>
        </w:rPr>
        <w:t>募集资金基本情况</w:t>
      </w:r>
    </w:p>
    <w:p w14:paraId="3711A49A" w14:textId="55669D8E" w:rsidR="009E41A8" w:rsidRPr="009E41A8" w:rsidRDefault="009E41A8" w:rsidP="009E41A8">
      <w:pPr>
        <w:adjustRightInd w:val="0"/>
        <w:spacing w:beforeLines="50" w:before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E41A8">
        <w:rPr>
          <w:rFonts w:ascii="宋体" w:eastAsia="宋体" w:hAnsi="宋体"/>
          <w:sz w:val="24"/>
          <w:szCs w:val="24"/>
        </w:rPr>
        <w:t>经中国证券监督管理委员会证监许可[2021]18号文核准，</w:t>
      </w:r>
      <w:r w:rsidR="00347EB3">
        <w:rPr>
          <w:rFonts w:ascii="宋体" w:eastAsia="宋体" w:hAnsi="宋体"/>
          <w:sz w:val="24"/>
          <w:szCs w:val="24"/>
        </w:rPr>
        <w:t>安徽省交通建设股份有限公司（以下简称“公司”）</w:t>
      </w:r>
      <w:r w:rsidRPr="009E41A8">
        <w:rPr>
          <w:rFonts w:ascii="宋体" w:eastAsia="宋体" w:hAnsi="宋体"/>
          <w:sz w:val="24"/>
          <w:szCs w:val="24"/>
        </w:rPr>
        <w:t>于2021年6月向社会非公开发行人民币普通股（A股）119,924,235股，每股发行价为7.26元，应募集资金总额为人民币87,064.99万元，根据有关规定扣除发行费用1,143.70万元后，实际募集资金金额为85,921.30万元。该募集资金已于2021年6月到账。上述资金到账情况业经容诚会计师事务所（特殊普通合伙）容诚验字[2021]230Z0133号《验资报告》验证。公司对募集资金采取了专户存储管理。</w:t>
      </w:r>
    </w:p>
    <w:p w14:paraId="0700D786" w14:textId="77777777" w:rsidR="009E41A8" w:rsidRPr="00D83680" w:rsidRDefault="009E41A8" w:rsidP="009E41A8">
      <w:pPr>
        <w:pStyle w:val="ab"/>
        <w:numPr>
          <w:ilvl w:val="0"/>
          <w:numId w:val="1"/>
        </w:numPr>
        <w:tabs>
          <w:tab w:val="left" w:pos="993"/>
        </w:tabs>
        <w:adjustRightInd w:val="0"/>
        <w:spacing w:beforeLines="50" w:before="156" w:afterLines="50" w:after="156" w:line="360" w:lineRule="auto"/>
        <w:ind w:left="0" w:firstLine="482"/>
        <w:outlineLvl w:val="0"/>
        <w:rPr>
          <w:rFonts w:ascii="宋体" w:eastAsia="宋体" w:hAnsi="宋体"/>
          <w:b/>
          <w:bCs/>
          <w:sz w:val="24"/>
          <w:szCs w:val="24"/>
        </w:rPr>
      </w:pPr>
      <w:r w:rsidRPr="00D83680">
        <w:rPr>
          <w:rFonts w:ascii="宋体" w:eastAsia="宋体" w:hAnsi="宋体"/>
          <w:b/>
          <w:bCs/>
          <w:sz w:val="24"/>
          <w:szCs w:val="24"/>
        </w:rPr>
        <w:t>募集资金管理情况</w:t>
      </w:r>
    </w:p>
    <w:p w14:paraId="4658E28E" w14:textId="77777777" w:rsidR="009E41A8" w:rsidRPr="009E41A8" w:rsidRDefault="009E41A8" w:rsidP="009E41A8">
      <w:pPr>
        <w:adjustRightInd w:val="0"/>
        <w:spacing w:beforeLines="50" w:before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E41A8">
        <w:rPr>
          <w:rFonts w:ascii="宋体" w:eastAsia="宋体" w:hAnsi="宋体"/>
          <w:sz w:val="24"/>
          <w:szCs w:val="24"/>
        </w:rPr>
        <w:t>根据有关法律法规及《上海证券交易所上市公司自律监管指引第1号——规范运作》的规定，遵循规范、安全、高效、透明的原则，公司制定了《募集资金管理办法》，对募集资金的存储、审批、使用、管理与监督做出了明确的规定，以在制度上保证募集资金的规范使用。</w:t>
      </w:r>
    </w:p>
    <w:p w14:paraId="21B11EBA" w14:textId="4E9BEDD7" w:rsidR="009E41A8" w:rsidRPr="00272FF9" w:rsidRDefault="009E41A8" w:rsidP="00272FF9">
      <w:pPr>
        <w:adjustRightInd w:val="0"/>
        <w:spacing w:beforeLines="50" w:before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E41A8">
        <w:rPr>
          <w:rFonts w:ascii="宋体" w:eastAsia="宋体" w:hAnsi="宋体"/>
          <w:sz w:val="24"/>
          <w:szCs w:val="24"/>
        </w:rPr>
        <w:t>2021年6月，本公司连同华安证券分别与杭州银行股份有限公司合肥分行（以下简称“杭州银行合肥分行”）、渤海银行股份有限公司合肥分行（以下简称“渤海银行合肥分行”）、上海浦东发展银行股份有限公司合肥分行（以下简称“浦发银行合肥分行”）、徽商银行股份有限公司合肥分行（以下简称“徽商银行合肥分行”）、中国建设银行股份有限公司界首支行（以下简称“建设银行界首支行”）、中国工商银行股份有限公司合肥城建支行（以下简称“工商银行城建支行”）、招商银行股份有限公司合肥分行（以下简称“招商银行合肥分行”）</w:t>
      </w:r>
      <w:r w:rsidRPr="009E41A8">
        <w:rPr>
          <w:rFonts w:ascii="宋体" w:eastAsia="宋体" w:hAnsi="宋体"/>
          <w:sz w:val="24"/>
          <w:szCs w:val="24"/>
        </w:rPr>
        <w:lastRenderedPageBreak/>
        <w:t>签署《募集资金三方监管协议》，并在杭州银行合肥分行、渤海银行合肥分行、浦发银行合肥</w:t>
      </w:r>
      <w:r w:rsidR="005F7B81">
        <w:rPr>
          <w:rFonts w:ascii="宋体" w:eastAsia="宋体" w:hAnsi="宋体" w:hint="eastAsia"/>
          <w:sz w:val="24"/>
          <w:szCs w:val="24"/>
        </w:rPr>
        <w:t>分行</w:t>
      </w:r>
      <w:r w:rsidR="003219D4">
        <w:rPr>
          <w:rFonts w:ascii="宋体" w:eastAsia="宋体" w:hAnsi="宋体"/>
          <w:sz w:val="24"/>
          <w:szCs w:val="24"/>
        </w:rPr>
        <w:t>宁国路支行</w:t>
      </w:r>
      <w:r w:rsidRPr="009E41A8">
        <w:rPr>
          <w:rFonts w:ascii="宋体" w:eastAsia="宋体" w:hAnsi="宋体"/>
          <w:sz w:val="24"/>
          <w:szCs w:val="24"/>
        </w:rPr>
        <w:t>、徽商银行合肥</w:t>
      </w:r>
      <w:r w:rsidR="005F7B81">
        <w:rPr>
          <w:rFonts w:ascii="宋体" w:eastAsia="宋体" w:hAnsi="宋体" w:hint="eastAsia"/>
          <w:sz w:val="24"/>
          <w:szCs w:val="24"/>
        </w:rPr>
        <w:t>分行</w:t>
      </w:r>
      <w:r w:rsidR="003219D4">
        <w:rPr>
          <w:rFonts w:ascii="宋体" w:eastAsia="宋体" w:hAnsi="宋体"/>
          <w:sz w:val="24"/>
          <w:szCs w:val="24"/>
        </w:rPr>
        <w:t>芜湖路支行</w:t>
      </w:r>
      <w:r w:rsidRPr="009E41A8">
        <w:rPr>
          <w:rFonts w:ascii="宋体" w:eastAsia="宋体" w:hAnsi="宋体"/>
          <w:sz w:val="24"/>
          <w:szCs w:val="24"/>
        </w:rPr>
        <w:t>、建设银行界首支行、工商银行城建支行和招商银行合肥分行分别开设了账号为3401040160001016238、2010789704000198、58080078801800000859、520501603531000234、34050171190800002449、1302011729200188247和551900016010506的募集资金专项账户。</w:t>
      </w:r>
      <w:r w:rsidR="00272FF9" w:rsidRPr="00EF6A61">
        <w:rPr>
          <w:rFonts w:ascii="宋体" w:eastAsia="宋体" w:hAnsi="宋体" w:hint="eastAsia"/>
          <w:sz w:val="24"/>
          <w:szCs w:val="24"/>
        </w:rPr>
        <w:t>三方监管协议与证券交易所三方监管协议范本不存在重大差异，三方监管协议的履行不存在问题。</w:t>
      </w:r>
    </w:p>
    <w:p w14:paraId="31A759B6" w14:textId="77777777" w:rsidR="00737A90" w:rsidRPr="00737A90" w:rsidRDefault="00737A90" w:rsidP="00737A90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737A90">
        <w:rPr>
          <w:rFonts w:ascii="宋体" w:eastAsia="宋体" w:hAnsi="宋体" w:hint="eastAsia"/>
          <w:b/>
          <w:bCs/>
          <w:sz w:val="24"/>
          <w:szCs w:val="24"/>
        </w:rPr>
        <w:t>四、本次募集资金专户销户情况</w:t>
      </w:r>
      <w:r w:rsidRPr="00737A90">
        <w:rPr>
          <w:rFonts w:ascii="宋体" w:eastAsia="宋体" w:hAnsi="宋体"/>
          <w:b/>
          <w:bCs/>
          <w:sz w:val="24"/>
          <w:szCs w:val="24"/>
        </w:rPr>
        <w:t xml:space="preserve"> </w:t>
      </w:r>
    </w:p>
    <w:p w14:paraId="68BBBAB8" w14:textId="15F39D3B" w:rsidR="0015273F" w:rsidRDefault="005073A0" w:rsidP="00737A90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截至本公告日</w:t>
      </w:r>
      <w:r w:rsidR="00737A90" w:rsidRPr="00737A90">
        <w:rPr>
          <w:rFonts w:ascii="宋体" w:eastAsia="宋体" w:hAnsi="宋体" w:hint="eastAsia"/>
          <w:bCs/>
          <w:sz w:val="24"/>
          <w:szCs w:val="24"/>
        </w:rPr>
        <w:t>，公司募集资金专户的开立及存储情况如下</w:t>
      </w:r>
      <w:r w:rsidR="00737A90">
        <w:rPr>
          <w:rFonts w:ascii="宋体" w:eastAsia="宋体" w:hAnsi="宋体" w:hint="eastAsia"/>
          <w:bCs/>
          <w:sz w:val="24"/>
          <w:szCs w:val="24"/>
        </w:rPr>
        <w:t>：</w:t>
      </w:r>
    </w:p>
    <w:p w14:paraId="29DEDA15" w14:textId="77777777" w:rsidR="00737A90" w:rsidRPr="009E41A8" w:rsidRDefault="00737A90" w:rsidP="0089110C">
      <w:pPr>
        <w:adjustRightInd w:val="0"/>
        <w:spacing w:beforeLines="50" w:before="156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9E41A8">
        <w:rPr>
          <w:rFonts w:ascii="宋体" w:eastAsia="宋体" w:hAnsi="宋体"/>
          <w:sz w:val="24"/>
          <w:szCs w:val="24"/>
        </w:rPr>
        <w:t>金额单位：人民币元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338"/>
        <w:gridCol w:w="2674"/>
        <w:gridCol w:w="935"/>
        <w:gridCol w:w="1478"/>
      </w:tblGrid>
      <w:tr w:rsidR="00737A90" w:rsidRPr="009E41A8" w14:paraId="462715BA" w14:textId="7B74EBA0" w:rsidTr="005F7B81">
        <w:trPr>
          <w:trHeight w:val="454"/>
          <w:jc w:val="center"/>
        </w:trPr>
        <w:tc>
          <w:tcPr>
            <w:tcW w:w="1981" w:type="pct"/>
            <w:vAlign w:val="center"/>
          </w:tcPr>
          <w:p w14:paraId="656120C2" w14:textId="77777777" w:rsidR="00737A90" w:rsidRPr="009E41A8" w:rsidRDefault="00737A90" w:rsidP="005F7B81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1A8">
              <w:rPr>
                <w:rFonts w:ascii="宋体" w:eastAsia="宋体" w:hAnsi="宋体"/>
                <w:sz w:val="24"/>
                <w:szCs w:val="24"/>
              </w:rPr>
              <w:t>银 行 名 称</w:t>
            </w:r>
          </w:p>
        </w:tc>
        <w:tc>
          <w:tcPr>
            <w:tcW w:w="1587" w:type="pct"/>
            <w:vAlign w:val="center"/>
          </w:tcPr>
          <w:p w14:paraId="5A32971B" w14:textId="77777777" w:rsidR="00737A90" w:rsidRPr="009E41A8" w:rsidRDefault="00737A90" w:rsidP="005F7B81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1A8">
              <w:rPr>
                <w:rFonts w:ascii="宋体" w:eastAsia="宋体" w:hAnsi="宋体"/>
                <w:sz w:val="24"/>
                <w:szCs w:val="24"/>
              </w:rPr>
              <w:t>银行帐号</w:t>
            </w:r>
          </w:p>
        </w:tc>
        <w:tc>
          <w:tcPr>
            <w:tcW w:w="555" w:type="pct"/>
            <w:vAlign w:val="center"/>
          </w:tcPr>
          <w:p w14:paraId="61DBBE79" w14:textId="77777777" w:rsidR="00737A90" w:rsidRPr="009E41A8" w:rsidRDefault="00737A90" w:rsidP="005F7B81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1A8">
              <w:rPr>
                <w:rFonts w:ascii="宋体" w:eastAsia="宋体" w:hAnsi="宋体"/>
                <w:sz w:val="24"/>
                <w:szCs w:val="24"/>
              </w:rPr>
              <w:t>余额</w:t>
            </w:r>
          </w:p>
        </w:tc>
        <w:tc>
          <w:tcPr>
            <w:tcW w:w="877" w:type="pct"/>
            <w:vAlign w:val="center"/>
          </w:tcPr>
          <w:p w14:paraId="4F80616B" w14:textId="594E1450" w:rsidR="00737A90" w:rsidRPr="009E41A8" w:rsidRDefault="00737A90" w:rsidP="005F7B81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存续状态</w:t>
            </w:r>
          </w:p>
        </w:tc>
      </w:tr>
      <w:tr w:rsidR="00737A90" w:rsidRPr="009E41A8" w14:paraId="3A85A266" w14:textId="0B262F4C" w:rsidTr="005F7B81">
        <w:trPr>
          <w:trHeight w:val="283"/>
          <w:tblHeader/>
          <w:jc w:val="center"/>
        </w:trPr>
        <w:tc>
          <w:tcPr>
            <w:tcW w:w="1981" w:type="pct"/>
            <w:vAlign w:val="center"/>
          </w:tcPr>
          <w:p w14:paraId="64795E61" w14:textId="77777777" w:rsidR="00737A90" w:rsidRPr="009E41A8" w:rsidRDefault="00737A90" w:rsidP="0089110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  <w:r w:rsidRPr="009E41A8">
              <w:rPr>
                <w:rFonts w:ascii="宋体" w:eastAsia="宋体" w:hAnsi="宋体"/>
                <w:sz w:val="24"/>
                <w:szCs w:val="24"/>
              </w:rPr>
              <w:t>杭州银行合肥分行</w:t>
            </w:r>
          </w:p>
        </w:tc>
        <w:tc>
          <w:tcPr>
            <w:tcW w:w="1587" w:type="pct"/>
            <w:vAlign w:val="center"/>
          </w:tcPr>
          <w:p w14:paraId="1F2698F7" w14:textId="77777777" w:rsidR="00737A90" w:rsidRPr="009E41A8" w:rsidRDefault="00737A90" w:rsidP="0089110C">
            <w:pPr>
              <w:pStyle w:val="ad"/>
              <w:spacing w:line="240" w:lineRule="auto"/>
              <w:textAlignment w:val="auto"/>
              <w:rPr>
                <w:rFonts w:hAnsi="宋体"/>
                <w:szCs w:val="24"/>
              </w:rPr>
            </w:pPr>
            <w:r w:rsidRPr="009E41A8">
              <w:rPr>
                <w:rFonts w:hAnsi="宋体"/>
                <w:szCs w:val="24"/>
              </w:rPr>
              <w:t>3401040160001016238</w:t>
            </w:r>
          </w:p>
        </w:tc>
        <w:tc>
          <w:tcPr>
            <w:tcW w:w="555" w:type="pct"/>
            <w:vAlign w:val="center"/>
          </w:tcPr>
          <w:p w14:paraId="26C6FA86" w14:textId="77777777" w:rsidR="00737A90" w:rsidRPr="009E41A8" w:rsidRDefault="00737A90" w:rsidP="0089110C">
            <w:pPr>
              <w:pStyle w:val="ad"/>
              <w:spacing w:line="240" w:lineRule="auto"/>
              <w:jc w:val="right"/>
              <w:textAlignment w:val="auto"/>
              <w:rPr>
                <w:rFonts w:hAnsi="宋体"/>
                <w:kern w:val="2"/>
                <w:szCs w:val="24"/>
              </w:rPr>
            </w:pPr>
            <w:r w:rsidRPr="009E41A8">
              <w:rPr>
                <w:rFonts w:hAnsi="宋体" w:hint="eastAsia"/>
                <w:szCs w:val="24"/>
              </w:rPr>
              <w:t>0</w:t>
            </w:r>
            <w:r w:rsidRPr="009E41A8">
              <w:rPr>
                <w:rFonts w:hAnsi="宋体"/>
                <w:szCs w:val="24"/>
              </w:rPr>
              <w:t>.</w:t>
            </w:r>
            <w:r w:rsidRPr="009E41A8">
              <w:rPr>
                <w:rFonts w:hAnsi="宋体" w:hint="eastAsia"/>
                <w:szCs w:val="24"/>
              </w:rPr>
              <w:t>00</w:t>
            </w:r>
          </w:p>
        </w:tc>
        <w:tc>
          <w:tcPr>
            <w:tcW w:w="877" w:type="pct"/>
          </w:tcPr>
          <w:p w14:paraId="52F13FE3" w14:textId="67361E8A" w:rsidR="00737A90" w:rsidRPr="009E41A8" w:rsidRDefault="00737A90" w:rsidP="0089110C">
            <w:pPr>
              <w:pStyle w:val="ad"/>
              <w:spacing w:line="240" w:lineRule="auto"/>
              <w:jc w:val="center"/>
              <w:textAlignment w:val="auto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拟注销</w:t>
            </w:r>
          </w:p>
        </w:tc>
      </w:tr>
      <w:tr w:rsidR="00737A90" w:rsidRPr="009E41A8" w14:paraId="1A89CBF2" w14:textId="0C2CDA09" w:rsidTr="005F7B81">
        <w:trPr>
          <w:trHeight w:val="233"/>
          <w:jc w:val="center"/>
        </w:trPr>
        <w:tc>
          <w:tcPr>
            <w:tcW w:w="1981" w:type="pct"/>
            <w:vAlign w:val="center"/>
          </w:tcPr>
          <w:p w14:paraId="33B3F3FA" w14:textId="77777777" w:rsidR="00737A90" w:rsidRPr="009E41A8" w:rsidRDefault="00737A90" w:rsidP="0089110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  <w:r w:rsidRPr="009E41A8">
              <w:rPr>
                <w:rFonts w:ascii="宋体" w:eastAsia="宋体" w:hAnsi="宋体"/>
                <w:sz w:val="24"/>
                <w:szCs w:val="24"/>
              </w:rPr>
              <w:t>渤海银行合肥分行</w:t>
            </w:r>
          </w:p>
        </w:tc>
        <w:tc>
          <w:tcPr>
            <w:tcW w:w="1587" w:type="pct"/>
            <w:vAlign w:val="center"/>
          </w:tcPr>
          <w:p w14:paraId="19A39E41" w14:textId="77777777" w:rsidR="00737A90" w:rsidRPr="009E41A8" w:rsidRDefault="00737A90" w:rsidP="0089110C">
            <w:pPr>
              <w:pStyle w:val="ad"/>
              <w:spacing w:line="240" w:lineRule="auto"/>
              <w:textAlignment w:val="auto"/>
              <w:rPr>
                <w:rFonts w:hAnsi="宋体"/>
                <w:szCs w:val="24"/>
              </w:rPr>
            </w:pPr>
            <w:r w:rsidRPr="009E41A8">
              <w:rPr>
                <w:rFonts w:hAnsi="宋体"/>
                <w:szCs w:val="24"/>
              </w:rPr>
              <w:t>2010789704000198</w:t>
            </w:r>
          </w:p>
        </w:tc>
        <w:tc>
          <w:tcPr>
            <w:tcW w:w="555" w:type="pct"/>
            <w:vAlign w:val="center"/>
          </w:tcPr>
          <w:p w14:paraId="34FAF4B0" w14:textId="77777777" w:rsidR="00737A90" w:rsidRPr="009E41A8" w:rsidRDefault="00737A90" w:rsidP="0089110C">
            <w:pPr>
              <w:pStyle w:val="ad"/>
              <w:spacing w:line="240" w:lineRule="auto"/>
              <w:jc w:val="right"/>
              <w:textAlignment w:val="auto"/>
              <w:rPr>
                <w:rFonts w:hAnsi="宋体"/>
                <w:kern w:val="2"/>
                <w:szCs w:val="24"/>
              </w:rPr>
            </w:pPr>
            <w:r w:rsidRPr="009E41A8">
              <w:rPr>
                <w:rFonts w:hAnsi="宋体" w:hint="eastAsia"/>
                <w:szCs w:val="24"/>
              </w:rPr>
              <w:t>0</w:t>
            </w:r>
            <w:r w:rsidRPr="009E41A8">
              <w:rPr>
                <w:rFonts w:hAnsi="宋体"/>
                <w:szCs w:val="24"/>
              </w:rPr>
              <w:t>.</w:t>
            </w:r>
            <w:r w:rsidRPr="009E41A8">
              <w:rPr>
                <w:rFonts w:hAnsi="宋体" w:hint="eastAsia"/>
                <w:szCs w:val="24"/>
              </w:rPr>
              <w:t>00</w:t>
            </w:r>
          </w:p>
        </w:tc>
        <w:tc>
          <w:tcPr>
            <w:tcW w:w="877" w:type="pct"/>
          </w:tcPr>
          <w:p w14:paraId="2FB53455" w14:textId="6A20F42B" w:rsidR="00737A90" w:rsidRPr="009E41A8" w:rsidRDefault="00737A90" w:rsidP="0089110C">
            <w:pPr>
              <w:pStyle w:val="ad"/>
              <w:spacing w:line="240" w:lineRule="auto"/>
              <w:jc w:val="center"/>
              <w:textAlignment w:val="auto"/>
              <w:rPr>
                <w:rFonts w:hAnsi="宋体"/>
                <w:szCs w:val="24"/>
              </w:rPr>
            </w:pPr>
            <w:r w:rsidRPr="009B7706">
              <w:rPr>
                <w:rFonts w:hAnsi="宋体" w:hint="eastAsia"/>
                <w:szCs w:val="24"/>
              </w:rPr>
              <w:t>拟注销</w:t>
            </w:r>
          </w:p>
        </w:tc>
      </w:tr>
      <w:tr w:rsidR="00737A90" w:rsidRPr="009E41A8" w14:paraId="5DF53557" w14:textId="55A56909" w:rsidTr="005F7B81">
        <w:trPr>
          <w:trHeight w:val="339"/>
          <w:jc w:val="center"/>
        </w:trPr>
        <w:tc>
          <w:tcPr>
            <w:tcW w:w="1981" w:type="pct"/>
            <w:vAlign w:val="center"/>
          </w:tcPr>
          <w:p w14:paraId="3361CBBF" w14:textId="55228B80" w:rsidR="00737A90" w:rsidRPr="009E41A8" w:rsidRDefault="003219D4" w:rsidP="0089110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  <w:r w:rsidRPr="009E41A8">
              <w:rPr>
                <w:rFonts w:ascii="宋体" w:eastAsia="宋体" w:hAnsi="宋体"/>
                <w:sz w:val="24"/>
                <w:szCs w:val="24"/>
              </w:rPr>
              <w:t>浦发银行合肥</w:t>
            </w:r>
            <w:r w:rsidR="005F7B81">
              <w:rPr>
                <w:rFonts w:ascii="宋体" w:eastAsia="宋体" w:hAnsi="宋体" w:hint="eastAsia"/>
                <w:sz w:val="24"/>
                <w:szCs w:val="24"/>
              </w:rPr>
              <w:t>分行</w:t>
            </w:r>
            <w:r>
              <w:rPr>
                <w:rFonts w:ascii="宋体" w:eastAsia="宋体" w:hAnsi="宋体"/>
                <w:sz w:val="24"/>
                <w:szCs w:val="24"/>
              </w:rPr>
              <w:t>宁国路支行</w:t>
            </w:r>
          </w:p>
        </w:tc>
        <w:tc>
          <w:tcPr>
            <w:tcW w:w="1587" w:type="pct"/>
            <w:vAlign w:val="center"/>
          </w:tcPr>
          <w:p w14:paraId="49D22724" w14:textId="77777777" w:rsidR="00737A90" w:rsidRPr="009E41A8" w:rsidRDefault="00737A90" w:rsidP="0089110C">
            <w:pPr>
              <w:pStyle w:val="ad"/>
              <w:spacing w:line="240" w:lineRule="auto"/>
              <w:textAlignment w:val="auto"/>
              <w:rPr>
                <w:rFonts w:hAnsi="宋体"/>
                <w:szCs w:val="24"/>
              </w:rPr>
            </w:pPr>
            <w:r w:rsidRPr="009E41A8">
              <w:rPr>
                <w:rFonts w:hAnsi="宋体"/>
                <w:szCs w:val="24"/>
              </w:rPr>
              <w:t>58080078801800000859</w:t>
            </w:r>
          </w:p>
        </w:tc>
        <w:tc>
          <w:tcPr>
            <w:tcW w:w="555" w:type="pct"/>
            <w:vAlign w:val="center"/>
          </w:tcPr>
          <w:p w14:paraId="1E34783B" w14:textId="77777777" w:rsidR="00737A90" w:rsidRPr="009E41A8" w:rsidRDefault="00737A90" w:rsidP="0089110C">
            <w:pPr>
              <w:pStyle w:val="ad"/>
              <w:spacing w:line="240" w:lineRule="auto"/>
              <w:jc w:val="right"/>
              <w:textAlignment w:val="auto"/>
              <w:rPr>
                <w:rFonts w:hAnsi="宋体"/>
                <w:kern w:val="2"/>
                <w:szCs w:val="24"/>
              </w:rPr>
            </w:pPr>
            <w:r w:rsidRPr="009E41A8">
              <w:rPr>
                <w:rFonts w:hAnsi="宋体" w:hint="eastAsia"/>
                <w:szCs w:val="24"/>
              </w:rPr>
              <w:t>0</w:t>
            </w:r>
            <w:r w:rsidRPr="009E41A8">
              <w:rPr>
                <w:rFonts w:hAnsi="宋体"/>
                <w:szCs w:val="24"/>
              </w:rPr>
              <w:t>.</w:t>
            </w:r>
            <w:r w:rsidRPr="009E41A8">
              <w:rPr>
                <w:rFonts w:hAnsi="宋体" w:hint="eastAsia"/>
                <w:szCs w:val="24"/>
              </w:rPr>
              <w:t>00</w:t>
            </w:r>
          </w:p>
        </w:tc>
        <w:tc>
          <w:tcPr>
            <w:tcW w:w="877" w:type="pct"/>
          </w:tcPr>
          <w:p w14:paraId="45BB5509" w14:textId="0D44057E" w:rsidR="00737A90" w:rsidRPr="009E41A8" w:rsidRDefault="00737A90" w:rsidP="0089110C">
            <w:pPr>
              <w:pStyle w:val="ad"/>
              <w:spacing w:line="240" w:lineRule="auto"/>
              <w:jc w:val="center"/>
              <w:textAlignment w:val="auto"/>
              <w:rPr>
                <w:rFonts w:hAnsi="宋体"/>
                <w:szCs w:val="24"/>
              </w:rPr>
            </w:pPr>
            <w:r w:rsidRPr="009B7706">
              <w:rPr>
                <w:rFonts w:hAnsi="宋体" w:hint="eastAsia"/>
                <w:szCs w:val="24"/>
              </w:rPr>
              <w:t>拟注销</w:t>
            </w:r>
          </w:p>
        </w:tc>
      </w:tr>
      <w:tr w:rsidR="00737A90" w:rsidRPr="009E41A8" w14:paraId="7EB082B1" w14:textId="3EBA2125" w:rsidTr="005F7B81">
        <w:trPr>
          <w:trHeight w:val="303"/>
          <w:jc w:val="center"/>
        </w:trPr>
        <w:tc>
          <w:tcPr>
            <w:tcW w:w="1981" w:type="pct"/>
            <w:vAlign w:val="center"/>
          </w:tcPr>
          <w:p w14:paraId="230C3681" w14:textId="5E45527E" w:rsidR="00737A90" w:rsidRPr="009E41A8" w:rsidRDefault="003219D4" w:rsidP="0089110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  <w:r w:rsidRPr="009E41A8">
              <w:rPr>
                <w:rFonts w:ascii="宋体" w:eastAsia="宋体" w:hAnsi="宋体"/>
                <w:sz w:val="24"/>
                <w:szCs w:val="24"/>
              </w:rPr>
              <w:t>徽商银行合肥</w:t>
            </w:r>
            <w:r w:rsidR="005F7B81">
              <w:rPr>
                <w:rFonts w:ascii="宋体" w:eastAsia="宋体" w:hAnsi="宋体" w:hint="eastAsia"/>
                <w:sz w:val="24"/>
                <w:szCs w:val="24"/>
              </w:rPr>
              <w:t>分行</w:t>
            </w:r>
            <w:r>
              <w:rPr>
                <w:rFonts w:ascii="宋体" w:eastAsia="宋体" w:hAnsi="宋体"/>
                <w:sz w:val="24"/>
                <w:szCs w:val="24"/>
              </w:rPr>
              <w:t>芜湖路支行</w:t>
            </w:r>
          </w:p>
        </w:tc>
        <w:tc>
          <w:tcPr>
            <w:tcW w:w="1587" w:type="pct"/>
            <w:vAlign w:val="center"/>
          </w:tcPr>
          <w:p w14:paraId="2693BBEC" w14:textId="77777777" w:rsidR="00737A90" w:rsidRPr="009E41A8" w:rsidRDefault="00737A90" w:rsidP="0089110C">
            <w:pPr>
              <w:pStyle w:val="ad"/>
              <w:spacing w:line="240" w:lineRule="auto"/>
              <w:textAlignment w:val="auto"/>
              <w:rPr>
                <w:rFonts w:hAnsi="宋体"/>
                <w:szCs w:val="24"/>
              </w:rPr>
            </w:pPr>
            <w:r w:rsidRPr="009E41A8">
              <w:rPr>
                <w:rFonts w:hAnsi="宋体"/>
                <w:szCs w:val="24"/>
              </w:rPr>
              <w:t>520501603531000234</w:t>
            </w:r>
          </w:p>
        </w:tc>
        <w:tc>
          <w:tcPr>
            <w:tcW w:w="555" w:type="pct"/>
            <w:vAlign w:val="center"/>
          </w:tcPr>
          <w:p w14:paraId="0C9D0409" w14:textId="77777777" w:rsidR="00737A90" w:rsidRPr="009E41A8" w:rsidRDefault="00737A90" w:rsidP="0089110C">
            <w:pPr>
              <w:pStyle w:val="ad"/>
              <w:spacing w:line="240" w:lineRule="auto"/>
              <w:jc w:val="right"/>
              <w:textAlignment w:val="auto"/>
              <w:rPr>
                <w:rFonts w:hAnsi="宋体"/>
                <w:kern w:val="2"/>
                <w:szCs w:val="24"/>
              </w:rPr>
            </w:pPr>
            <w:r w:rsidRPr="009E41A8">
              <w:rPr>
                <w:rFonts w:hAnsi="宋体" w:hint="eastAsia"/>
                <w:szCs w:val="24"/>
              </w:rPr>
              <w:t>0</w:t>
            </w:r>
            <w:r w:rsidRPr="009E41A8">
              <w:rPr>
                <w:rFonts w:hAnsi="宋体"/>
                <w:szCs w:val="24"/>
              </w:rPr>
              <w:t>.</w:t>
            </w:r>
            <w:r w:rsidRPr="009E41A8">
              <w:rPr>
                <w:rFonts w:hAnsi="宋体" w:hint="eastAsia"/>
                <w:szCs w:val="24"/>
              </w:rPr>
              <w:t>00</w:t>
            </w:r>
          </w:p>
        </w:tc>
        <w:tc>
          <w:tcPr>
            <w:tcW w:w="877" w:type="pct"/>
          </w:tcPr>
          <w:p w14:paraId="05967158" w14:textId="05936D85" w:rsidR="00737A90" w:rsidRPr="009E41A8" w:rsidRDefault="00737A90" w:rsidP="0089110C">
            <w:pPr>
              <w:pStyle w:val="ad"/>
              <w:spacing w:line="240" w:lineRule="auto"/>
              <w:jc w:val="center"/>
              <w:textAlignment w:val="auto"/>
              <w:rPr>
                <w:rFonts w:hAnsi="宋体"/>
                <w:szCs w:val="24"/>
              </w:rPr>
            </w:pPr>
            <w:r w:rsidRPr="009B7706">
              <w:rPr>
                <w:rFonts w:hAnsi="宋体" w:hint="eastAsia"/>
                <w:szCs w:val="24"/>
              </w:rPr>
              <w:t>拟注销</w:t>
            </w:r>
          </w:p>
        </w:tc>
      </w:tr>
      <w:tr w:rsidR="00737A90" w:rsidRPr="009E41A8" w14:paraId="1DF0233A" w14:textId="7786FBD5" w:rsidTr="005F7B81">
        <w:trPr>
          <w:trHeight w:val="252"/>
          <w:jc w:val="center"/>
        </w:trPr>
        <w:tc>
          <w:tcPr>
            <w:tcW w:w="1981" w:type="pct"/>
            <w:vAlign w:val="center"/>
          </w:tcPr>
          <w:p w14:paraId="5492ADB2" w14:textId="77777777" w:rsidR="00737A90" w:rsidRPr="009E41A8" w:rsidRDefault="00737A90" w:rsidP="0089110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  <w:r w:rsidRPr="009E41A8">
              <w:rPr>
                <w:rFonts w:ascii="宋体" w:eastAsia="宋体" w:hAnsi="宋体"/>
                <w:sz w:val="24"/>
                <w:szCs w:val="24"/>
              </w:rPr>
              <w:t>建设银行界首支行</w:t>
            </w:r>
          </w:p>
        </w:tc>
        <w:tc>
          <w:tcPr>
            <w:tcW w:w="1587" w:type="pct"/>
            <w:vAlign w:val="center"/>
          </w:tcPr>
          <w:p w14:paraId="1A1E6700" w14:textId="77777777" w:rsidR="00737A90" w:rsidRPr="009E41A8" w:rsidRDefault="00737A90" w:rsidP="0089110C">
            <w:pPr>
              <w:pStyle w:val="ad"/>
              <w:spacing w:line="240" w:lineRule="auto"/>
              <w:textAlignment w:val="auto"/>
              <w:rPr>
                <w:rFonts w:hAnsi="宋体"/>
                <w:szCs w:val="24"/>
              </w:rPr>
            </w:pPr>
            <w:r w:rsidRPr="009E41A8">
              <w:rPr>
                <w:rFonts w:hAnsi="宋体"/>
                <w:szCs w:val="24"/>
              </w:rPr>
              <w:t>34050171190800002449</w:t>
            </w:r>
          </w:p>
        </w:tc>
        <w:tc>
          <w:tcPr>
            <w:tcW w:w="555" w:type="pct"/>
            <w:vAlign w:val="center"/>
          </w:tcPr>
          <w:p w14:paraId="1B621C9B" w14:textId="5C781FDB" w:rsidR="00737A90" w:rsidRPr="009E41A8" w:rsidRDefault="0089110C" w:rsidP="0089110C">
            <w:pPr>
              <w:pStyle w:val="ad"/>
              <w:spacing w:line="240" w:lineRule="auto"/>
              <w:jc w:val="right"/>
              <w:textAlignment w:val="auto"/>
              <w:rPr>
                <w:rFonts w:hAnsi="宋体"/>
                <w:kern w:val="2"/>
                <w:szCs w:val="24"/>
              </w:rPr>
            </w:pPr>
            <w:r>
              <w:rPr>
                <w:rFonts w:hAnsi="宋体" w:hint="eastAsia"/>
                <w:szCs w:val="24"/>
              </w:rPr>
              <w:t>0.00</w:t>
            </w:r>
          </w:p>
        </w:tc>
        <w:tc>
          <w:tcPr>
            <w:tcW w:w="877" w:type="pct"/>
          </w:tcPr>
          <w:p w14:paraId="1078036E" w14:textId="03DD4A62" w:rsidR="00737A90" w:rsidRPr="009E41A8" w:rsidRDefault="00737A90" w:rsidP="0089110C">
            <w:pPr>
              <w:pStyle w:val="ad"/>
              <w:spacing w:line="240" w:lineRule="auto"/>
              <w:jc w:val="center"/>
              <w:textAlignment w:val="auto"/>
              <w:rPr>
                <w:rFonts w:hAnsi="宋体"/>
                <w:szCs w:val="24"/>
              </w:rPr>
            </w:pPr>
            <w:r w:rsidRPr="009B7706">
              <w:rPr>
                <w:rFonts w:hAnsi="宋体" w:hint="eastAsia"/>
                <w:szCs w:val="24"/>
              </w:rPr>
              <w:t>拟注销</w:t>
            </w:r>
          </w:p>
        </w:tc>
      </w:tr>
      <w:tr w:rsidR="00737A90" w:rsidRPr="009E41A8" w14:paraId="64833B49" w14:textId="67285FC3" w:rsidTr="005F7B81">
        <w:trPr>
          <w:trHeight w:val="359"/>
          <w:jc w:val="center"/>
        </w:trPr>
        <w:tc>
          <w:tcPr>
            <w:tcW w:w="1981" w:type="pct"/>
            <w:vAlign w:val="center"/>
          </w:tcPr>
          <w:p w14:paraId="20843566" w14:textId="77777777" w:rsidR="00737A90" w:rsidRPr="009E41A8" w:rsidRDefault="00737A90" w:rsidP="0089110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  <w:r w:rsidRPr="009E41A8">
              <w:rPr>
                <w:rFonts w:ascii="宋体" w:eastAsia="宋体" w:hAnsi="宋体"/>
                <w:sz w:val="24"/>
                <w:szCs w:val="24"/>
              </w:rPr>
              <w:t>工商银行城建支行</w:t>
            </w:r>
          </w:p>
        </w:tc>
        <w:tc>
          <w:tcPr>
            <w:tcW w:w="1587" w:type="pct"/>
            <w:vAlign w:val="center"/>
          </w:tcPr>
          <w:p w14:paraId="0B014EEB" w14:textId="77777777" w:rsidR="00737A90" w:rsidRPr="009E41A8" w:rsidRDefault="00737A90" w:rsidP="0089110C">
            <w:pPr>
              <w:pStyle w:val="ad"/>
              <w:spacing w:line="240" w:lineRule="auto"/>
              <w:textAlignment w:val="auto"/>
              <w:rPr>
                <w:rFonts w:hAnsi="宋体"/>
                <w:szCs w:val="24"/>
              </w:rPr>
            </w:pPr>
            <w:r w:rsidRPr="009E41A8">
              <w:rPr>
                <w:rFonts w:hAnsi="宋体"/>
                <w:szCs w:val="24"/>
              </w:rPr>
              <w:t>1302011729200188247</w:t>
            </w:r>
          </w:p>
        </w:tc>
        <w:tc>
          <w:tcPr>
            <w:tcW w:w="555" w:type="pct"/>
            <w:vAlign w:val="center"/>
          </w:tcPr>
          <w:p w14:paraId="4C3D3E13" w14:textId="77777777" w:rsidR="00737A90" w:rsidRPr="009E41A8" w:rsidRDefault="00737A90" w:rsidP="0089110C">
            <w:pPr>
              <w:pStyle w:val="ad"/>
              <w:spacing w:line="240" w:lineRule="auto"/>
              <w:jc w:val="right"/>
              <w:textAlignment w:val="auto"/>
              <w:rPr>
                <w:rFonts w:hAnsi="宋体"/>
                <w:kern w:val="2"/>
                <w:szCs w:val="24"/>
              </w:rPr>
            </w:pPr>
            <w:r w:rsidRPr="009E41A8">
              <w:rPr>
                <w:rFonts w:hAnsi="宋体" w:hint="eastAsia"/>
                <w:szCs w:val="24"/>
              </w:rPr>
              <w:t>0</w:t>
            </w:r>
            <w:r w:rsidRPr="009E41A8">
              <w:rPr>
                <w:rFonts w:hAnsi="宋体"/>
                <w:szCs w:val="24"/>
              </w:rPr>
              <w:t>.</w:t>
            </w:r>
            <w:r w:rsidRPr="009E41A8">
              <w:rPr>
                <w:rFonts w:hAnsi="宋体" w:hint="eastAsia"/>
                <w:szCs w:val="24"/>
              </w:rPr>
              <w:t>00</w:t>
            </w:r>
          </w:p>
        </w:tc>
        <w:tc>
          <w:tcPr>
            <w:tcW w:w="877" w:type="pct"/>
          </w:tcPr>
          <w:p w14:paraId="12EE9CA6" w14:textId="5B7B3484" w:rsidR="00737A90" w:rsidRPr="009E41A8" w:rsidRDefault="00737A90" w:rsidP="0089110C">
            <w:pPr>
              <w:pStyle w:val="ad"/>
              <w:spacing w:line="240" w:lineRule="auto"/>
              <w:jc w:val="center"/>
              <w:textAlignment w:val="auto"/>
              <w:rPr>
                <w:rFonts w:hAnsi="宋体"/>
                <w:szCs w:val="24"/>
              </w:rPr>
            </w:pPr>
            <w:r w:rsidRPr="009B7706">
              <w:rPr>
                <w:rFonts w:hAnsi="宋体" w:hint="eastAsia"/>
                <w:szCs w:val="24"/>
              </w:rPr>
              <w:t>拟注销</w:t>
            </w:r>
          </w:p>
        </w:tc>
      </w:tr>
      <w:tr w:rsidR="00737A90" w:rsidRPr="009E41A8" w14:paraId="2366AE5D" w14:textId="66FC59DA" w:rsidTr="005F7B81">
        <w:trPr>
          <w:trHeight w:val="195"/>
          <w:jc w:val="center"/>
        </w:trPr>
        <w:tc>
          <w:tcPr>
            <w:tcW w:w="1981" w:type="pct"/>
            <w:vAlign w:val="center"/>
          </w:tcPr>
          <w:p w14:paraId="19865E4D" w14:textId="77777777" w:rsidR="00737A90" w:rsidRPr="009E41A8" w:rsidRDefault="00737A90" w:rsidP="0089110C">
            <w:pPr>
              <w:adjustRightInd w:val="0"/>
              <w:rPr>
                <w:rFonts w:ascii="宋体" w:eastAsia="宋体" w:hAnsi="宋体"/>
                <w:sz w:val="24"/>
                <w:szCs w:val="24"/>
              </w:rPr>
            </w:pPr>
            <w:r w:rsidRPr="009E41A8">
              <w:rPr>
                <w:rFonts w:ascii="宋体" w:eastAsia="宋体" w:hAnsi="宋体"/>
                <w:sz w:val="24"/>
                <w:szCs w:val="24"/>
              </w:rPr>
              <w:t>招商银行合肥分行</w:t>
            </w:r>
          </w:p>
        </w:tc>
        <w:tc>
          <w:tcPr>
            <w:tcW w:w="1587" w:type="pct"/>
            <w:vAlign w:val="center"/>
          </w:tcPr>
          <w:p w14:paraId="52DC7056" w14:textId="77777777" w:rsidR="00737A90" w:rsidRPr="009E41A8" w:rsidRDefault="00737A90" w:rsidP="0089110C">
            <w:pPr>
              <w:pStyle w:val="ad"/>
              <w:spacing w:line="240" w:lineRule="auto"/>
              <w:textAlignment w:val="auto"/>
              <w:rPr>
                <w:rFonts w:hAnsi="宋体"/>
                <w:szCs w:val="24"/>
              </w:rPr>
            </w:pPr>
            <w:r w:rsidRPr="009E41A8">
              <w:rPr>
                <w:rFonts w:hAnsi="宋体"/>
                <w:szCs w:val="24"/>
              </w:rPr>
              <w:t>551900016010506</w:t>
            </w:r>
          </w:p>
        </w:tc>
        <w:tc>
          <w:tcPr>
            <w:tcW w:w="555" w:type="pct"/>
            <w:vAlign w:val="center"/>
          </w:tcPr>
          <w:p w14:paraId="6DCE6E34" w14:textId="77777777" w:rsidR="00737A90" w:rsidRPr="009E41A8" w:rsidRDefault="00737A90" w:rsidP="0089110C">
            <w:pPr>
              <w:pStyle w:val="ad"/>
              <w:spacing w:line="240" w:lineRule="auto"/>
              <w:jc w:val="right"/>
              <w:textAlignment w:val="auto"/>
              <w:rPr>
                <w:rFonts w:hAnsi="宋体"/>
                <w:kern w:val="2"/>
                <w:szCs w:val="24"/>
              </w:rPr>
            </w:pPr>
            <w:r w:rsidRPr="009E41A8">
              <w:rPr>
                <w:rFonts w:hAnsi="宋体" w:hint="eastAsia"/>
                <w:szCs w:val="24"/>
              </w:rPr>
              <w:t>0</w:t>
            </w:r>
            <w:r w:rsidRPr="009E41A8">
              <w:rPr>
                <w:rFonts w:hAnsi="宋体"/>
                <w:szCs w:val="24"/>
              </w:rPr>
              <w:t>.</w:t>
            </w:r>
            <w:r w:rsidRPr="009E41A8">
              <w:rPr>
                <w:rFonts w:hAnsi="宋体" w:hint="eastAsia"/>
                <w:szCs w:val="24"/>
              </w:rPr>
              <w:t>00</w:t>
            </w:r>
          </w:p>
        </w:tc>
        <w:tc>
          <w:tcPr>
            <w:tcW w:w="877" w:type="pct"/>
          </w:tcPr>
          <w:p w14:paraId="7A100052" w14:textId="209A9E85" w:rsidR="00737A90" w:rsidRPr="009E41A8" w:rsidRDefault="00737A90" w:rsidP="0089110C">
            <w:pPr>
              <w:pStyle w:val="ad"/>
              <w:spacing w:line="240" w:lineRule="auto"/>
              <w:jc w:val="center"/>
              <w:textAlignment w:val="auto"/>
              <w:rPr>
                <w:rFonts w:hAnsi="宋体"/>
                <w:szCs w:val="24"/>
              </w:rPr>
            </w:pPr>
            <w:r w:rsidRPr="009B7706">
              <w:rPr>
                <w:rFonts w:hAnsi="宋体" w:hint="eastAsia"/>
                <w:szCs w:val="24"/>
              </w:rPr>
              <w:t>拟注销</w:t>
            </w:r>
          </w:p>
        </w:tc>
      </w:tr>
      <w:tr w:rsidR="00737A90" w:rsidRPr="009E41A8" w14:paraId="5822993F" w14:textId="52E93ADB" w:rsidTr="005F7B81">
        <w:trPr>
          <w:trHeight w:val="287"/>
          <w:jc w:val="center"/>
        </w:trPr>
        <w:tc>
          <w:tcPr>
            <w:tcW w:w="1981" w:type="pct"/>
            <w:vAlign w:val="center"/>
          </w:tcPr>
          <w:p w14:paraId="353BE7CC" w14:textId="77777777" w:rsidR="00737A90" w:rsidRPr="009E41A8" w:rsidRDefault="00737A90" w:rsidP="0089110C">
            <w:pPr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E41A8">
              <w:rPr>
                <w:rFonts w:ascii="宋体" w:eastAsia="宋体" w:hAnsi="宋体"/>
                <w:sz w:val="24"/>
                <w:szCs w:val="24"/>
              </w:rPr>
              <w:t>合    计</w:t>
            </w:r>
          </w:p>
        </w:tc>
        <w:tc>
          <w:tcPr>
            <w:tcW w:w="1587" w:type="pct"/>
            <w:vAlign w:val="center"/>
          </w:tcPr>
          <w:p w14:paraId="563857EC" w14:textId="77777777" w:rsidR="00737A90" w:rsidRPr="009E41A8" w:rsidRDefault="00737A90" w:rsidP="0089110C">
            <w:pPr>
              <w:pStyle w:val="ad"/>
              <w:spacing w:line="240" w:lineRule="auto"/>
              <w:jc w:val="left"/>
              <w:textAlignment w:val="auto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-</w:t>
            </w:r>
          </w:p>
        </w:tc>
        <w:tc>
          <w:tcPr>
            <w:tcW w:w="555" w:type="pct"/>
            <w:vAlign w:val="center"/>
          </w:tcPr>
          <w:p w14:paraId="4A91D845" w14:textId="4F088314" w:rsidR="00737A90" w:rsidRPr="009E41A8" w:rsidRDefault="0089110C" w:rsidP="0089110C">
            <w:pPr>
              <w:pStyle w:val="ad"/>
              <w:spacing w:line="240" w:lineRule="auto"/>
              <w:jc w:val="right"/>
              <w:textAlignment w:val="auto"/>
              <w:rPr>
                <w:rFonts w:hAnsi="宋体"/>
                <w:kern w:val="2"/>
                <w:szCs w:val="24"/>
              </w:rPr>
            </w:pPr>
            <w:r>
              <w:rPr>
                <w:rFonts w:hAnsi="宋体" w:hint="eastAsia"/>
                <w:szCs w:val="24"/>
              </w:rPr>
              <w:t>0.00</w:t>
            </w:r>
            <w:r w:rsidR="00737A90" w:rsidRPr="009E41A8">
              <w:rPr>
                <w:rFonts w:hAnsi="宋体"/>
                <w:kern w:val="2"/>
                <w:szCs w:val="24"/>
              </w:rPr>
              <w:t xml:space="preserve"> </w:t>
            </w:r>
          </w:p>
        </w:tc>
        <w:tc>
          <w:tcPr>
            <w:tcW w:w="877" w:type="pct"/>
          </w:tcPr>
          <w:p w14:paraId="5883C125" w14:textId="6500B112" w:rsidR="00737A90" w:rsidRPr="009E41A8" w:rsidRDefault="00210D4B" w:rsidP="0089110C">
            <w:pPr>
              <w:pStyle w:val="ad"/>
              <w:spacing w:line="240" w:lineRule="auto"/>
              <w:jc w:val="center"/>
              <w:textAlignment w:val="auto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-</w:t>
            </w:r>
          </w:p>
        </w:tc>
      </w:tr>
    </w:tbl>
    <w:p w14:paraId="4A2C4935" w14:textId="0D8F63D2" w:rsidR="00737A90" w:rsidRDefault="00210D4B" w:rsidP="00833EA5">
      <w:pPr>
        <w:spacing w:before="100" w:beforeAutospacing="1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10D4B">
        <w:rPr>
          <w:rFonts w:ascii="宋体" w:eastAsia="宋体" w:hAnsi="宋体" w:cs="Times New Roman"/>
          <w:sz w:val="24"/>
          <w:szCs w:val="24"/>
        </w:rPr>
        <w:t>鉴于</w:t>
      </w:r>
      <w:r w:rsidR="005073A0">
        <w:rPr>
          <w:rFonts w:ascii="宋体" w:eastAsia="宋体" w:hAnsi="宋体" w:cs="Times New Roman"/>
          <w:sz w:val="24"/>
          <w:szCs w:val="24"/>
        </w:rPr>
        <w:t>本次</w:t>
      </w:r>
      <w:r>
        <w:rPr>
          <w:rFonts w:ascii="宋体" w:eastAsia="宋体" w:hAnsi="宋体" w:cs="Times New Roman"/>
          <w:sz w:val="24"/>
          <w:szCs w:val="24"/>
        </w:rPr>
        <w:t>募集资金</w:t>
      </w:r>
      <w:r w:rsidRPr="00210D4B">
        <w:rPr>
          <w:rFonts w:ascii="宋体" w:eastAsia="宋体" w:hAnsi="宋体" w:cs="Times New Roman"/>
          <w:sz w:val="24"/>
          <w:szCs w:val="24"/>
        </w:rPr>
        <w:t>已按规定使用完毕，</w:t>
      </w:r>
      <w:r>
        <w:rPr>
          <w:rFonts w:ascii="宋体" w:eastAsia="宋体" w:hAnsi="宋体" w:cs="Times New Roman"/>
          <w:sz w:val="24"/>
          <w:szCs w:val="24"/>
        </w:rPr>
        <w:t>上述</w:t>
      </w:r>
      <w:r w:rsidRPr="00210D4B">
        <w:rPr>
          <w:rFonts w:ascii="宋体" w:eastAsia="宋体" w:hAnsi="宋体" w:cs="Times New Roman"/>
          <w:sz w:val="24"/>
          <w:szCs w:val="24"/>
        </w:rPr>
        <w:t>募集资金专用账户将不再使用。为方便账户管理，公司</w:t>
      </w:r>
      <w:r>
        <w:rPr>
          <w:rFonts w:ascii="宋体" w:eastAsia="宋体" w:hAnsi="宋体" w:cs="Times New Roman"/>
          <w:sz w:val="24"/>
          <w:szCs w:val="24"/>
        </w:rPr>
        <w:t>拟</w:t>
      </w:r>
      <w:r w:rsidRPr="00210D4B">
        <w:rPr>
          <w:rFonts w:ascii="宋体" w:eastAsia="宋体" w:hAnsi="宋体" w:cs="Times New Roman"/>
          <w:sz w:val="24"/>
          <w:szCs w:val="24"/>
        </w:rPr>
        <w:t>办理</w:t>
      </w:r>
      <w:r>
        <w:rPr>
          <w:rFonts w:ascii="宋体" w:eastAsia="宋体" w:hAnsi="宋体" w:cs="Times New Roman"/>
          <w:sz w:val="24"/>
          <w:szCs w:val="24"/>
        </w:rPr>
        <w:t>上述募集资金</w:t>
      </w:r>
      <w:r w:rsidRPr="00210D4B">
        <w:rPr>
          <w:rFonts w:ascii="宋体" w:eastAsia="宋体" w:hAnsi="宋体" w:cs="Times New Roman"/>
          <w:sz w:val="24"/>
          <w:szCs w:val="24"/>
        </w:rPr>
        <w:t>专户的销户手续。公司将根据项目需求，以自有资金继续推进该项目实施，保障项目顺利开展。</w:t>
      </w:r>
      <w:r>
        <w:rPr>
          <w:rFonts w:ascii="宋体" w:eastAsia="宋体" w:hAnsi="宋体" w:cs="Times New Roman"/>
          <w:sz w:val="24"/>
          <w:szCs w:val="24"/>
        </w:rPr>
        <w:t>上述</w:t>
      </w:r>
      <w:r w:rsidRPr="00210D4B">
        <w:rPr>
          <w:rFonts w:ascii="宋体" w:eastAsia="宋体" w:hAnsi="宋体" w:cs="Times New Roman"/>
          <w:sz w:val="24"/>
          <w:szCs w:val="24"/>
        </w:rPr>
        <w:t>账户注销后，公司与</w:t>
      </w:r>
      <w:r>
        <w:rPr>
          <w:rFonts w:ascii="宋体" w:eastAsia="宋体" w:hAnsi="宋体" w:cs="Times New Roman"/>
          <w:sz w:val="24"/>
          <w:szCs w:val="24"/>
        </w:rPr>
        <w:t>华安</w:t>
      </w:r>
      <w:r w:rsidRPr="00210D4B">
        <w:rPr>
          <w:rFonts w:ascii="宋体" w:eastAsia="宋体" w:hAnsi="宋体" w:cs="Times New Roman"/>
          <w:sz w:val="24"/>
          <w:szCs w:val="24"/>
        </w:rPr>
        <w:t>证券股份有限公司及</w:t>
      </w:r>
      <w:r>
        <w:rPr>
          <w:rFonts w:ascii="宋体" w:eastAsia="宋体" w:hAnsi="宋体" w:cs="Times New Roman"/>
          <w:sz w:val="24"/>
          <w:szCs w:val="24"/>
        </w:rPr>
        <w:t>上述银行</w:t>
      </w:r>
      <w:r w:rsidRPr="00210D4B">
        <w:rPr>
          <w:rFonts w:ascii="宋体" w:eastAsia="宋体" w:hAnsi="宋体" w:cs="Times New Roman"/>
          <w:sz w:val="24"/>
          <w:szCs w:val="24"/>
        </w:rPr>
        <w:t>签署的《募集资金专户三方监管协议》相应终止。</w:t>
      </w:r>
    </w:p>
    <w:p w14:paraId="69A40939" w14:textId="77777777" w:rsidR="00210D4B" w:rsidRPr="00737A90" w:rsidRDefault="00210D4B" w:rsidP="00210D4B">
      <w:pPr>
        <w:spacing w:before="100" w:beforeAutospacing="1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34802DB6" w14:textId="6E1F2105" w:rsidR="0044414A" w:rsidRPr="009E41A8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E41A8">
        <w:rPr>
          <w:rFonts w:ascii="宋体" w:eastAsia="宋体" w:hAnsi="宋体" w:cs="Times New Roman" w:hint="eastAsia"/>
          <w:sz w:val="24"/>
          <w:szCs w:val="24"/>
        </w:rPr>
        <w:t>特此公告。</w:t>
      </w:r>
      <w:bookmarkStart w:id="0" w:name="_GoBack"/>
      <w:bookmarkEnd w:id="0"/>
    </w:p>
    <w:p w14:paraId="78474AC1" w14:textId="77777777" w:rsidR="001127A3" w:rsidRPr="009E41A8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21C5D5FC" w14:textId="77777777" w:rsidR="00EE713F" w:rsidRPr="009E41A8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9E41A8">
        <w:rPr>
          <w:rFonts w:hAnsi="宋体" w:hint="eastAsia"/>
          <w:bCs/>
        </w:rPr>
        <w:t>安徽省交通建设股份有限公司董事会</w:t>
      </w:r>
    </w:p>
    <w:p w14:paraId="3F6888D4" w14:textId="36FDE884" w:rsidR="003C3573" w:rsidRPr="003C3573" w:rsidRDefault="000E3F66" w:rsidP="00833EA5">
      <w:pPr>
        <w:pStyle w:val="Default"/>
        <w:autoSpaceDN/>
        <w:spacing w:line="360" w:lineRule="auto"/>
        <w:ind w:firstLineChars="200" w:firstLine="480"/>
        <w:jc w:val="right"/>
        <w:rPr>
          <w:rFonts w:hAnsi="宋体" w:cs="Times New Roman"/>
        </w:rPr>
      </w:pPr>
      <w:r w:rsidRPr="009E41A8">
        <w:rPr>
          <w:rFonts w:hAnsi="宋体" w:hint="eastAsia"/>
          <w:bCs/>
        </w:rPr>
        <w:t>202</w:t>
      </w:r>
      <w:r w:rsidR="007A040C" w:rsidRPr="009E41A8">
        <w:rPr>
          <w:rFonts w:hAnsi="宋体" w:hint="eastAsia"/>
          <w:bCs/>
        </w:rPr>
        <w:t>5</w:t>
      </w:r>
      <w:r w:rsidR="00EE713F" w:rsidRPr="009E41A8">
        <w:rPr>
          <w:rFonts w:hAnsi="宋体" w:hint="eastAsia"/>
          <w:bCs/>
        </w:rPr>
        <w:t>年</w:t>
      </w:r>
      <w:r w:rsidR="00447B61">
        <w:rPr>
          <w:rFonts w:hAnsi="宋体" w:hint="eastAsia"/>
          <w:bCs/>
        </w:rPr>
        <w:t>8</w:t>
      </w:r>
      <w:r w:rsidR="00EE713F" w:rsidRPr="009E41A8">
        <w:rPr>
          <w:rFonts w:hAnsi="宋体" w:hint="eastAsia"/>
          <w:bCs/>
        </w:rPr>
        <w:t>月</w:t>
      </w:r>
      <w:r w:rsidR="00447B61">
        <w:rPr>
          <w:rFonts w:hAnsi="宋体" w:hint="eastAsia"/>
          <w:bCs/>
        </w:rPr>
        <w:t>2</w:t>
      </w:r>
      <w:r w:rsidR="00833EA5">
        <w:rPr>
          <w:rFonts w:hAnsi="宋体" w:hint="eastAsia"/>
          <w:bCs/>
        </w:rPr>
        <w:t>2日</w:t>
      </w:r>
    </w:p>
    <w:sectPr w:rsidR="003C3573" w:rsidRPr="003C3573" w:rsidSect="00833EA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45205" w14:textId="77777777" w:rsidR="00B62F21" w:rsidRDefault="00B62F21" w:rsidP="008D3BA9">
      <w:r>
        <w:separator/>
      </w:r>
    </w:p>
  </w:endnote>
  <w:endnote w:type="continuationSeparator" w:id="0">
    <w:p w14:paraId="58187B95" w14:textId="77777777" w:rsidR="00B62F21" w:rsidRDefault="00B62F21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531E4" w14:textId="77777777" w:rsidR="00B62F21" w:rsidRDefault="00B62F21" w:rsidP="008D3BA9">
      <w:r>
        <w:separator/>
      </w:r>
    </w:p>
  </w:footnote>
  <w:footnote w:type="continuationSeparator" w:id="0">
    <w:p w14:paraId="32A99AEA" w14:textId="77777777" w:rsidR="00B62F21" w:rsidRDefault="00B62F21" w:rsidP="008D3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6CE"/>
    <w:multiLevelType w:val="multilevel"/>
    <w:tmpl w:val="0A1616CE"/>
    <w:lvl w:ilvl="0">
      <w:start w:val="1"/>
      <w:numFmt w:val="chineseCountingThousand"/>
      <w:lvlText w:val="%1、"/>
      <w:lvlJc w:val="left"/>
      <w:pPr>
        <w:ind w:left="902" w:hanging="420"/>
      </w:p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34544083"/>
    <w:multiLevelType w:val="multilevel"/>
    <w:tmpl w:val="0A1616CE"/>
    <w:lvl w:ilvl="0">
      <w:start w:val="1"/>
      <w:numFmt w:val="chineseCountingThousand"/>
      <w:lvlText w:val="%1、"/>
      <w:lvlJc w:val="left"/>
      <w:pPr>
        <w:ind w:left="902" w:hanging="420"/>
      </w:p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1197E"/>
    <w:rsid w:val="000305DB"/>
    <w:rsid w:val="00037CA0"/>
    <w:rsid w:val="00041323"/>
    <w:rsid w:val="00052A80"/>
    <w:rsid w:val="000566E0"/>
    <w:rsid w:val="00085C09"/>
    <w:rsid w:val="00091571"/>
    <w:rsid w:val="000952B3"/>
    <w:rsid w:val="0009552A"/>
    <w:rsid w:val="000A1FED"/>
    <w:rsid w:val="000D28F8"/>
    <w:rsid w:val="000D73A3"/>
    <w:rsid w:val="000E3F66"/>
    <w:rsid w:val="000E4312"/>
    <w:rsid w:val="00101698"/>
    <w:rsid w:val="001127A3"/>
    <w:rsid w:val="00126ECE"/>
    <w:rsid w:val="00127802"/>
    <w:rsid w:val="00145FDB"/>
    <w:rsid w:val="00146911"/>
    <w:rsid w:val="0015273F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E7165"/>
    <w:rsid w:val="001F1BCC"/>
    <w:rsid w:val="001F6D14"/>
    <w:rsid w:val="0020712A"/>
    <w:rsid w:val="00210D4B"/>
    <w:rsid w:val="00243F6A"/>
    <w:rsid w:val="00245A5F"/>
    <w:rsid w:val="00255854"/>
    <w:rsid w:val="0025718D"/>
    <w:rsid w:val="00265BB5"/>
    <w:rsid w:val="00265E60"/>
    <w:rsid w:val="00272FF9"/>
    <w:rsid w:val="00273343"/>
    <w:rsid w:val="00274AE8"/>
    <w:rsid w:val="00283CE8"/>
    <w:rsid w:val="00283E19"/>
    <w:rsid w:val="00292B60"/>
    <w:rsid w:val="002973EA"/>
    <w:rsid w:val="002D2039"/>
    <w:rsid w:val="002D38EE"/>
    <w:rsid w:val="002D4E1A"/>
    <w:rsid w:val="002D6813"/>
    <w:rsid w:val="002E7B86"/>
    <w:rsid w:val="002F5B30"/>
    <w:rsid w:val="0030119E"/>
    <w:rsid w:val="003029BA"/>
    <w:rsid w:val="00305C8D"/>
    <w:rsid w:val="0030728C"/>
    <w:rsid w:val="003143A8"/>
    <w:rsid w:val="003219D4"/>
    <w:rsid w:val="0034268B"/>
    <w:rsid w:val="0034558D"/>
    <w:rsid w:val="00347EB3"/>
    <w:rsid w:val="00360908"/>
    <w:rsid w:val="00363B35"/>
    <w:rsid w:val="00372F6D"/>
    <w:rsid w:val="003745BD"/>
    <w:rsid w:val="003758E6"/>
    <w:rsid w:val="00385566"/>
    <w:rsid w:val="00390995"/>
    <w:rsid w:val="0039207D"/>
    <w:rsid w:val="003B410C"/>
    <w:rsid w:val="003C3573"/>
    <w:rsid w:val="003C6729"/>
    <w:rsid w:val="003F4294"/>
    <w:rsid w:val="004022B5"/>
    <w:rsid w:val="00411869"/>
    <w:rsid w:val="00411FDC"/>
    <w:rsid w:val="00412071"/>
    <w:rsid w:val="004264AE"/>
    <w:rsid w:val="004344C1"/>
    <w:rsid w:val="004352B5"/>
    <w:rsid w:val="0044414A"/>
    <w:rsid w:val="00446776"/>
    <w:rsid w:val="00447B61"/>
    <w:rsid w:val="00452BF9"/>
    <w:rsid w:val="00465589"/>
    <w:rsid w:val="0047637C"/>
    <w:rsid w:val="00483C93"/>
    <w:rsid w:val="00490409"/>
    <w:rsid w:val="00490AC6"/>
    <w:rsid w:val="00493422"/>
    <w:rsid w:val="004A4D9C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0502B"/>
    <w:rsid w:val="005073A0"/>
    <w:rsid w:val="005232DA"/>
    <w:rsid w:val="005263D3"/>
    <w:rsid w:val="005265FB"/>
    <w:rsid w:val="00526F49"/>
    <w:rsid w:val="00533A74"/>
    <w:rsid w:val="00540179"/>
    <w:rsid w:val="00540688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E3462"/>
    <w:rsid w:val="005E7C6A"/>
    <w:rsid w:val="005F409D"/>
    <w:rsid w:val="005F7B81"/>
    <w:rsid w:val="00603F97"/>
    <w:rsid w:val="00623D60"/>
    <w:rsid w:val="006308EF"/>
    <w:rsid w:val="0063688F"/>
    <w:rsid w:val="00652371"/>
    <w:rsid w:val="0065541B"/>
    <w:rsid w:val="00684F1F"/>
    <w:rsid w:val="006939AB"/>
    <w:rsid w:val="00695E34"/>
    <w:rsid w:val="006C5628"/>
    <w:rsid w:val="006C6693"/>
    <w:rsid w:val="006D238E"/>
    <w:rsid w:val="006D3C87"/>
    <w:rsid w:val="006E12E3"/>
    <w:rsid w:val="006E3D1D"/>
    <w:rsid w:val="006F358F"/>
    <w:rsid w:val="00700326"/>
    <w:rsid w:val="00705E9F"/>
    <w:rsid w:val="007154ED"/>
    <w:rsid w:val="007164A9"/>
    <w:rsid w:val="00717238"/>
    <w:rsid w:val="0072263E"/>
    <w:rsid w:val="00731763"/>
    <w:rsid w:val="00737A90"/>
    <w:rsid w:val="007430E6"/>
    <w:rsid w:val="00760475"/>
    <w:rsid w:val="00765891"/>
    <w:rsid w:val="00774B50"/>
    <w:rsid w:val="00786EA9"/>
    <w:rsid w:val="00797267"/>
    <w:rsid w:val="007A040C"/>
    <w:rsid w:val="007A1A49"/>
    <w:rsid w:val="007A6014"/>
    <w:rsid w:val="007B4025"/>
    <w:rsid w:val="007C4B5F"/>
    <w:rsid w:val="007C5F40"/>
    <w:rsid w:val="007D1B40"/>
    <w:rsid w:val="007E0888"/>
    <w:rsid w:val="007F68EF"/>
    <w:rsid w:val="00800823"/>
    <w:rsid w:val="008219B0"/>
    <w:rsid w:val="00826CC3"/>
    <w:rsid w:val="0083054A"/>
    <w:rsid w:val="00833EA5"/>
    <w:rsid w:val="00862BD5"/>
    <w:rsid w:val="00883F46"/>
    <w:rsid w:val="0089110C"/>
    <w:rsid w:val="008A020C"/>
    <w:rsid w:val="008A24FC"/>
    <w:rsid w:val="008A7D57"/>
    <w:rsid w:val="008D1596"/>
    <w:rsid w:val="008D31E5"/>
    <w:rsid w:val="008D3BA9"/>
    <w:rsid w:val="008F5640"/>
    <w:rsid w:val="00903370"/>
    <w:rsid w:val="00907551"/>
    <w:rsid w:val="009252CA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E41A8"/>
    <w:rsid w:val="009E5E8C"/>
    <w:rsid w:val="009F4364"/>
    <w:rsid w:val="009F6ED4"/>
    <w:rsid w:val="00A06067"/>
    <w:rsid w:val="00A07F47"/>
    <w:rsid w:val="00A12C33"/>
    <w:rsid w:val="00A1649B"/>
    <w:rsid w:val="00A234CA"/>
    <w:rsid w:val="00A23956"/>
    <w:rsid w:val="00A50304"/>
    <w:rsid w:val="00A50886"/>
    <w:rsid w:val="00A50931"/>
    <w:rsid w:val="00A51475"/>
    <w:rsid w:val="00A5298A"/>
    <w:rsid w:val="00A64BBF"/>
    <w:rsid w:val="00A70D21"/>
    <w:rsid w:val="00A86C57"/>
    <w:rsid w:val="00AC1BE5"/>
    <w:rsid w:val="00AC3901"/>
    <w:rsid w:val="00AD6243"/>
    <w:rsid w:val="00AF000D"/>
    <w:rsid w:val="00B07E9D"/>
    <w:rsid w:val="00B20275"/>
    <w:rsid w:val="00B20BCA"/>
    <w:rsid w:val="00B23A98"/>
    <w:rsid w:val="00B25DCB"/>
    <w:rsid w:val="00B30A4A"/>
    <w:rsid w:val="00B30ADE"/>
    <w:rsid w:val="00B449FC"/>
    <w:rsid w:val="00B62F21"/>
    <w:rsid w:val="00B81B8D"/>
    <w:rsid w:val="00B846C7"/>
    <w:rsid w:val="00BA005C"/>
    <w:rsid w:val="00BA22B0"/>
    <w:rsid w:val="00BC131B"/>
    <w:rsid w:val="00BF0821"/>
    <w:rsid w:val="00BF77ED"/>
    <w:rsid w:val="00C05595"/>
    <w:rsid w:val="00C05A3C"/>
    <w:rsid w:val="00C15175"/>
    <w:rsid w:val="00C26E05"/>
    <w:rsid w:val="00C30EF3"/>
    <w:rsid w:val="00C33A2D"/>
    <w:rsid w:val="00C413B3"/>
    <w:rsid w:val="00C43379"/>
    <w:rsid w:val="00C5142E"/>
    <w:rsid w:val="00C73847"/>
    <w:rsid w:val="00C80940"/>
    <w:rsid w:val="00C92EDA"/>
    <w:rsid w:val="00C96CA8"/>
    <w:rsid w:val="00CA0058"/>
    <w:rsid w:val="00CA2271"/>
    <w:rsid w:val="00CA5A77"/>
    <w:rsid w:val="00CB0AAA"/>
    <w:rsid w:val="00CC21E6"/>
    <w:rsid w:val="00CC3B46"/>
    <w:rsid w:val="00CE4512"/>
    <w:rsid w:val="00CE7F2F"/>
    <w:rsid w:val="00CF599E"/>
    <w:rsid w:val="00D106E7"/>
    <w:rsid w:val="00D159C3"/>
    <w:rsid w:val="00D17EB8"/>
    <w:rsid w:val="00D26C6A"/>
    <w:rsid w:val="00D31DC9"/>
    <w:rsid w:val="00D45BF1"/>
    <w:rsid w:val="00D513D6"/>
    <w:rsid w:val="00D73539"/>
    <w:rsid w:val="00D81808"/>
    <w:rsid w:val="00D83680"/>
    <w:rsid w:val="00DA5931"/>
    <w:rsid w:val="00DB0C66"/>
    <w:rsid w:val="00E0485E"/>
    <w:rsid w:val="00E156EC"/>
    <w:rsid w:val="00E1662D"/>
    <w:rsid w:val="00E24E69"/>
    <w:rsid w:val="00E27255"/>
    <w:rsid w:val="00E33F9D"/>
    <w:rsid w:val="00E34134"/>
    <w:rsid w:val="00E67DAB"/>
    <w:rsid w:val="00E760B6"/>
    <w:rsid w:val="00E76B07"/>
    <w:rsid w:val="00E8169A"/>
    <w:rsid w:val="00E8231A"/>
    <w:rsid w:val="00EC191B"/>
    <w:rsid w:val="00EE16DE"/>
    <w:rsid w:val="00EE4BC4"/>
    <w:rsid w:val="00EE713F"/>
    <w:rsid w:val="00F036E9"/>
    <w:rsid w:val="00F07C86"/>
    <w:rsid w:val="00F3296D"/>
    <w:rsid w:val="00F37D64"/>
    <w:rsid w:val="00F46C01"/>
    <w:rsid w:val="00F549EF"/>
    <w:rsid w:val="00F62188"/>
    <w:rsid w:val="00F63E4C"/>
    <w:rsid w:val="00F70144"/>
    <w:rsid w:val="00F85B3D"/>
    <w:rsid w:val="00F86CC2"/>
    <w:rsid w:val="00F919A4"/>
    <w:rsid w:val="00F94937"/>
    <w:rsid w:val="00FA2702"/>
    <w:rsid w:val="00FB1925"/>
    <w:rsid w:val="00FC044A"/>
    <w:rsid w:val="00FC1BA6"/>
    <w:rsid w:val="00FC5119"/>
    <w:rsid w:val="00FD2313"/>
    <w:rsid w:val="00FE11D8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Date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sid w:val="009E41A8"/>
    <w:rPr>
      <w:rFonts w:ascii="宋体" w:eastAsia="宋体" w:hAnsi="宋体" w:hint="eastAsia"/>
      <w:color w:val="000000"/>
      <w:sz w:val="24"/>
      <w:szCs w:val="24"/>
    </w:rPr>
  </w:style>
  <w:style w:type="paragraph" w:styleId="ad">
    <w:name w:val="Date"/>
    <w:basedOn w:val="a"/>
    <w:next w:val="a"/>
    <w:link w:val="Char5"/>
    <w:autoRedefine/>
    <w:qFormat/>
    <w:rsid w:val="009E41A8"/>
    <w:pPr>
      <w:adjustRightInd w:val="0"/>
      <w:spacing w:line="312" w:lineRule="atLeast"/>
      <w:textAlignment w:val="baseline"/>
    </w:pPr>
    <w:rPr>
      <w:rFonts w:ascii="宋体" w:eastAsia="宋体" w:hAnsi="Times New Roman" w:cs="Times New Roman"/>
      <w:kern w:val="0"/>
      <w:sz w:val="24"/>
      <w:szCs w:val="20"/>
      <w:lang w:val="zh-CN"/>
    </w:rPr>
  </w:style>
  <w:style w:type="character" w:customStyle="1" w:styleId="Char5">
    <w:name w:val="日期 Char"/>
    <w:basedOn w:val="a0"/>
    <w:link w:val="ad"/>
    <w:qFormat/>
    <w:rsid w:val="009E41A8"/>
    <w:rPr>
      <w:rFonts w:ascii="宋体"/>
      <w:sz w:val="24"/>
      <w:lang w:val="zh-CN"/>
    </w:rPr>
  </w:style>
  <w:style w:type="paragraph" w:styleId="ae">
    <w:name w:val="Revision"/>
    <w:hidden/>
    <w:uiPriority w:val="99"/>
    <w:semiHidden/>
    <w:rsid w:val="0038556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Date" w:uiPriority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2">
    <w:name w:val="未处理的提及2"/>
    <w:basedOn w:val="a0"/>
    <w:uiPriority w:val="99"/>
    <w:semiHidden/>
    <w:unhideWhenUsed/>
    <w:rsid w:val="001127A3"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sid w:val="009E41A8"/>
    <w:rPr>
      <w:rFonts w:ascii="宋体" w:eastAsia="宋体" w:hAnsi="宋体" w:hint="eastAsia"/>
      <w:color w:val="000000"/>
      <w:sz w:val="24"/>
      <w:szCs w:val="24"/>
    </w:rPr>
  </w:style>
  <w:style w:type="paragraph" w:styleId="ad">
    <w:name w:val="Date"/>
    <w:basedOn w:val="a"/>
    <w:next w:val="a"/>
    <w:link w:val="Char5"/>
    <w:autoRedefine/>
    <w:qFormat/>
    <w:rsid w:val="009E41A8"/>
    <w:pPr>
      <w:adjustRightInd w:val="0"/>
      <w:spacing w:line="312" w:lineRule="atLeast"/>
      <w:textAlignment w:val="baseline"/>
    </w:pPr>
    <w:rPr>
      <w:rFonts w:ascii="宋体" w:eastAsia="宋体" w:hAnsi="Times New Roman" w:cs="Times New Roman"/>
      <w:kern w:val="0"/>
      <w:sz w:val="24"/>
      <w:szCs w:val="20"/>
      <w:lang w:val="zh-CN"/>
    </w:rPr>
  </w:style>
  <w:style w:type="character" w:customStyle="1" w:styleId="Char5">
    <w:name w:val="日期 Char"/>
    <w:basedOn w:val="a0"/>
    <w:link w:val="ad"/>
    <w:qFormat/>
    <w:rsid w:val="009E41A8"/>
    <w:rPr>
      <w:rFonts w:ascii="宋体"/>
      <w:sz w:val="24"/>
      <w:lang w:val="zh-CN"/>
    </w:rPr>
  </w:style>
  <w:style w:type="paragraph" w:styleId="ae">
    <w:name w:val="Revision"/>
    <w:hidden/>
    <w:uiPriority w:val="99"/>
    <w:semiHidden/>
    <w:rsid w:val="0038556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568457-710D-498B-97D2-A0B55619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112</cp:revision>
  <dcterms:created xsi:type="dcterms:W3CDTF">2019-10-21T02:21:00Z</dcterms:created>
  <dcterms:modified xsi:type="dcterms:W3CDTF">2025-08-20T09:40:00Z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